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</w:t>
      </w:r>
      <w:r>
        <w:rPr>
          <w:rFonts w:ascii="Arial" w:hAnsi="Arial"/>
          <w:sz w:val="32"/>
          <w:lang w:eastAsia="de-DE"/>
        </w:rPr>
        <w:drawing xmlns:mc="http://schemas.openxmlformats.org/markup-compatibility/2006">
          <wp:inline distT="0" distB="0" distL="0" distR="0">
            <wp:extent cx="981075" cy="981075"/>
            <wp:effectExtent l="0" t="0" r="0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</w:rPr>
        <w:t xml:space="preserve">                </w:t>
      </w:r>
      <w:r>
        <w:rPr>
          <w:rFonts w:ascii="Arial" w:hAnsi="Arial"/>
          <w:sz w:val="44"/>
        </w:rPr>
        <w:t>TSG Harsewinke</w:t>
      </w:r>
      <w:r>
        <w:rPr>
          <w:rFonts w:ascii="Arial" w:hAnsi="Arial"/>
          <w:sz w:val="44"/>
        </w:rPr>
        <w:t>l</w:t>
      </w:r>
      <w:r>
        <w:rPr>
          <w:rFonts w:ascii="Arial" w:hAnsi="Arial"/>
          <w:sz w:val="32"/>
        </w:rPr>
        <w:t xml:space="preserve">         </w:t>
      </w:r>
      <w:r>
        <w:rPr>
          <w:rFonts w:ascii="Arial" w:hAnsi="Arial"/>
          <w:sz w:val="32"/>
          <w:lang w:eastAsia="de-DE"/>
        </w:rPr>
        <w:drawing xmlns:mc="http://schemas.openxmlformats.org/markup-compatibility/2006">
          <wp:inline distT="0" distB="0" distL="0" distR="0">
            <wp:extent cx="981075" cy="981075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/>
        </w:rPr>
      </w:pPr>
    </w:p>
    <w:p>
      <w:pPr>
        <w:jc w:val="center"/>
        <w:rPr>
          <w:rFonts w:ascii="Arial" w:hAnsi="Arial"/>
        </w:rPr>
      </w:pPr>
    </w:p>
    <w:p>
      <w:pPr>
        <w:jc w:val="center"/>
        <w:rPr>
          <w:rFonts w:ascii="Arial" w:hAnsi="Arial"/>
        </w:rPr>
      </w:pPr>
    </w:p>
    <w:p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Hygienekonzept für Handballspiele </w:t>
      </w:r>
      <w:r>
        <w:rPr>
          <w:rFonts w:ascii="Arial" w:hAnsi="Arial"/>
        </w:rPr>
        <w:t xml:space="preserve">in der Dreifachhalle </w:t>
      </w:r>
      <w:r>
        <w:rPr>
          <w:rFonts w:ascii="Arial" w:hAnsi="Arial"/>
        </w:rPr>
        <w:t>mit Zuschauern</w:t>
      </w:r>
      <w:r>
        <w:rPr>
          <w:rFonts w:ascii="Arial" w:hAnsi="Arial"/>
        </w:rPr>
        <w:t xml:space="preserve"> </w:t>
      </w:r>
    </w:p>
    <w:p>
      <w:pPr>
        <w:rPr>
          <w:rFonts w:ascii="Arial" w:hAnsi="Arial"/>
        </w:rPr>
      </w:pPr>
    </w:p>
    <w:p>
      <w:pPr>
        <w:rPr>
          <w:rFonts w:ascii="Arial" w:hAnsi="Arial"/>
        </w:rPr>
      </w:pPr>
      <w:r>
        <w:rPr>
          <w:rFonts w:ascii="Arial" w:hAnsi="Arial"/>
        </w:rPr>
        <w:t xml:space="preserve">Es gilt die </w:t>
      </w:r>
      <w:r>
        <w:rPr>
          <w:rFonts w:ascii="Arial" w:hAnsi="Arial"/>
        </w:rPr>
        <w:t>CoronaScHVO</w:t>
      </w:r>
      <w:r>
        <w:rPr>
          <w:rFonts w:ascii="Arial" w:hAnsi="Arial"/>
        </w:rPr>
        <w:t xml:space="preserve"> in der vom 24.11.2021 veröffentlichten Fassung. Daneben gelten die Ergänzungen des HV Westfalen, die im</w:t>
      </w:r>
      <w:r>
        <w:rPr>
          <w:rFonts w:ascii="Arial" w:hAnsi="Arial"/>
        </w:rPr>
        <w:t xml:space="preserve"> WESTFALENHANDBALL veröffentlicht wurden (</w:t>
      </w:r>
      <w:r>
        <w:fldChar w:fldCharType="begin"/>
      </w:r>
      <w:r>
        <w:instrText xml:space="preserve">HYPERLINK "https://www.handballwestfalen.de/fileadmin/user_upload/Westfalenhandball_44_2021.pdf" </w:instrText>
      </w:r>
      <w:r>
        <w:fldChar w:fldCharType="separate"/>
      </w:r>
      <w:r>
        <w:rPr>
          <w:rStyle w:val="Hyperlink"/>
          <w:rFonts w:ascii="Arial" w:hAnsi="Arial"/>
        </w:rPr>
        <w:t>https://www.handballwestfalen.de/fileadmin/user_upload/Westfalenhandball_44_2021.pdf</w:t>
      </w:r>
      <w:r>
        <w:fldChar w:fldCharType="end"/>
      </w:r>
      <w:r>
        <w:rPr>
          <w:rFonts w:ascii="Arial" w:hAnsi="Arial"/>
        </w:rPr>
        <w:t xml:space="preserve">) </w:t>
      </w:r>
    </w:p>
    <w:p>
      <w:pPr>
        <w:rPr>
          <w:rFonts w:ascii="Arial" w:hAnsi="Arial"/>
        </w:rPr>
      </w:pPr>
    </w:p>
    <w:p>
      <w:pPr>
        <w:rPr>
          <w:rFonts w:ascii="Arial" w:hAnsi="Arial"/>
        </w:rPr>
      </w:pPr>
      <w:r>
        <w:rPr>
          <w:rFonts w:ascii="Arial" w:hAnsi="Arial"/>
        </w:rPr>
        <w:t>Dieses Hygienekonzept soll den reibungslosen Spielbetrieb unter Berücksichtigung der</w:t>
      </w:r>
      <w:r>
        <w:rPr>
          <w:rFonts w:ascii="Arial" w:hAnsi="Arial"/>
        </w:rPr>
        <w:t xml:space="preserve"> jeweil</w:t>
      </w:r>
      <w:r>
        <w:rPr>
          <w:rFonts w:ascii="Arial" w:hAnsi="Arial"/>
        </w:rPr>
        <w:t>i</w:t>
      </w:r>
      <w:r>
        <w:rPr>
          <w:rFonts w:ascii="Arial" w:hAnsi="Arial"/>
        </w:rPr>
        <w:t>g</w:t>
      </w:r>
      <w:r>
        <w:rPr>
          <w:rFonts w:ascii="Arial" w:hAnsi="Arial"/>
        </w:rPr>
        <w:t>en</w:t>
      </w:r>
      <w:r>
        <w:rPr>
          <w:rFonts w:ascii="Arial" w:hAnsi="Arial"/>
        </w:rPr>
        <w:t xml:space="preserve"> aktuellen Corona-Schutzverordnung und der empfohlenen Hygienemaßnahmen sicherstellen.</w:t>
      </w:r>
    </w:p>
    <w:p>
      <w:pPr>
        <w:rPr>
          <w:rFonts w:ascii="Arial" w:hAnsi="Arial"/>
        </w:rPr>
      </w:pPr>
      <w:r>
        <w:rPr>
          <w:rFonts w:ascii="Arial" w:hAnsi="Arial"/>
        </w:rPr>
        <w:t>Dieses Konzept gilt für die Dreifachhalle in Harsewinkel</w:t>
      </w:r>
      <w:r>
        <w:rPr>
          <w:rFonts w:ascii="Arial" w:hAnsi="Arial"/>
        </w:rPr>
        <w:t>, Prozessionsweg 2, 33428 Harsewinkel</w:t>
      </w:r>
    </w:p>
    <w:p>
      <w:pPr>
        <w:rPr>
          <w:rFonts w:ascii="Arial" w:hAnsi="Arial"/>
        </w:rPr>
      </w:pPr>
    </w:p>
    <w:p>
      <w:pPr>
        <w:pStyle w:val="ListParagraph"/>
        <w:numPr>
          <w:ilvl w:val="0"/>
          <w:numId w:val="3"/>
        </w:num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An- und Abreise der Zuschauer</w:t>
      </w:r>
    </w:p>
    <w:p>
      <w:pPr>
        <w:rPr>
          <w:rFonts w:ascii="Arial" w:hAnsi="Arial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Im Bereich der Dreifachhalle </w:t>
      </w:r>
      <w:r>
        <w:rPr>
          <w:rFonts w:ascii="Arial" w:hAnsi="Arial"/>
        </w:rPr>
        <w:t xml:space="preserve">(DFH) </w:t>
      </w:r>
      <w:r>
        <w:rPr>
          <w:rFonts w:ascii="Arial" w:hAnsi="Arial"/>
        </w:rPr>
        <w:t>sind</w:t>
      </w:r>
      <w:r>
        <w:rPr>
          <w:rFonts w:ascii="Arial" w:hAnsi="Arial"/>
        </w:rPr>
        <w:t xml:space="preserve"> genügend Parkplätze vorhanden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Vor der Dreifachhalle sind ausreichend Warteflächen</w:t>
      </w:r>
    </w:p>
    <w:p>
      <w:pPr>
        <w:rPr>
          <w:rFonts w:ascii="Arial" w:hAnsi="Arial"/>
        </w:rPr>
      </w:pPr>
    </w:p>
    <w:p>
      <w:pPr>
        <w:pStyle w:val="ListParagraph"/>
        <w:numPr>
          <w:ilvl w:val="0"/>
          <w:numId w:val="3"/>
        </w:num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Regelungen bei Beitreten und Verlassen der Halle</w:t>
      </w:r>
    </w:p>
    <w:p>
      <w:pPr>
        <w:rPr>
          <w:rFonts w:ascii="Arial" w:hAnsi="Arial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  <w:b/>
          <w:bCs/>
        </w:rPr>
        <w:t>Jeder</w:t>
      </w:r>
      <w:r>
        <w:rPr>
          <w:rFonts w:ascii="Arial" w:hAnsi="Arial"/>
          <w:b/>
          <w:bCs/>
        </w:rPr>
        <w:t xml:space="preserve"> Zuschauer und alle Aktiven werden auf den </w:t>
      </w:r>
      <w:r>
        <w:rPr>
          <w:rFonts w:ascii="Arial" w:hAnsi="Arial"/>
          <w:b/>
          <w:bCs/>
        </w:rPr>
        <w:t>2 G</w:t>
      </w:r>
      <w:r>
        <w:rPr>
          <w:rFonts w:ascii="Arial" w:hAnsi="Arial"/>
          <w:b/>
          <w:bCs/>
        </w:rPr>
        <w:t xml:space="preserve"> Status überprüft</w:t>
      </w:r>
      <w:r>
        <w:rPr>
          <w:rFonts w:ascii="Arial" w:hAnsi="Arial"/>
          <w:b/>
          <w:bCs/>
        </w:rPr>
        <w:t>. Dazu müssen die entsprechenden Nachweise vorgezeigt werden</w:t>
      </w:r>
      <w:r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>Die Einlasskontrolle erfolgt kontaktlos.</w:t>
      </w:r>
    </w:p>
    <w:p>
      <w:pPr>
        <w:ind w:left="708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Nur Personen, die geimpft</w:t>
      </w:r>
      <w:r>
        <w:rPr>
          <w:rFonts w:ascii="Arial" w:hAnsi="Arial"/>
          <w:b/>
          <w:bCs/>
        </w:rPr>
        <w:t xml:space="preserve"> oder </w:t>
      </w:r>
      <w:r>
        <w:rPr>
          <w:rFonts w:ascii="Arial" w:hAnsi="Arial"/>
          <w:b/>
          <w:bCs/>
        </w:rPr>
        <w:t>genesen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sind, erhalten den Zugang zur DFH</w:t>
      </w:r>
      <w:r>
        <w:rPr>
          <w:rFonts w:ascii="Arial" w:hAnsi="Arial"/>
          <w:b/>
          <w:bCs/>
        </w:rPr>
        <w:t>.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Kinder und Jugendliche bis 15 Jahren sind von der 2 G Regel ausgenommen. </w:t>
      </w:r>
      <w:r>
        <w:rPr>
          <w:rFonts w:ascii="Arial" w:hAnsi="Arial"/>
          <w:b/>
          <w:bCs/>
        </w:rPr>
        <w:t>Jugendliche ab 16 Jahren werden wie Erwachsene behandelt und fallen unter die 2 G Regelung.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Die Zuschauer sind verpflichtet beim Betreten und beim Verlassen der Halle </w:t>
      </w:r>
      <w:r>
        <w:rPr>
          <w:rFonts w:ascii="Arial" w:hAnsi="Arial"/>
        </w:rPr>
        <w:t>sowie</w:t>
      </w:r>
      <w:r>
        <w:rPr>
          <w:rFonts w:ascii="Arial" w:hAnsi="Arial"/>
        </w:rPr>
        <w:t xml:space="preserve"> bei allen Bewegungen zwischen den Zuschauerreihen und</w:t>
      </w:r>
      <w:r>
        <w:rPr>
          <w:rFonts w:ascii="Arial" w:hAnsi="Arial"/>
        </w:rPr>
        <w:t xml:space="preserve"> auf dem Weg zur Toilette eine </w:t>
      </w:r>
      <w:r>
        <w:rPr>
          <w:rFonts w:ascii="Arial" w:hAnsi="Arial"/>
        </w:rPr>
        <w:t>FFP2- oder OP-Maske zu tragen</w:t>
      </w:r>
      <w:r>
        <w:rPr>
          <w:rFonts w:ascii="Arial" w:hAnsi="Arial"/>
        </w:rPr>
        <w:t xml:space="preserve">. </w:t>
      </w:r>
      <w:r>
        <w:rPr>
          <w:rFonts w:ascii="Arial" w:hAnsi="Arial"/>
        </w:rPr>
        <w:t xml:space="preserve">Am Sitzplatz selbst </w:t>
      </w:r>
      <w:r>
        <w:rPr>
          <w:rFonts w:ascii="Arial" w:hAnsi="Arial"/>
        </w:rPr>
        <w:t xml:space="preserve">muß auch die </w:t>
      </w:r>
      <w:r>
        <w:rPr>
          <w:rFonts w:ascii="Arial" w:hAnsi="Arial"/>
        </w:rPr>
        <w:t>Maske getragen  werden.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Hygienehinweise hängen im Eingangsbereich und in der Halle aus.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Desinfektionsspender stehen im Eingangsbereich</w:t>
      </w:r>
      <w:r>
        <w:rPr>
          <w:rFonts w:ascii="Arial" w:hAnsi="Arial"/>
        </w:rPr>
        <w:t>.</w:t>
      </w:r>
    </w:p>
    <w:p>
      <w:pPr>
        <w:rPr>
          <w:rFonts w:ascii="Arial" w:hAnsi="Arial"/>
        </w:rPr>
      </w:pPr>
    </w:p>
    <w:p>
      <w:pPr>
        <w:pStyle w:val="ListParagraph"/>
        <w:numPr>
          <w:ilvl w:val="0"/>
          <w:numId w:val="3"/>
        </w:num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Gastronomie</w:t>
      </w:r>
    </w:p>
    <w:p>
      <w:pPr>
        <w:rPr>
          <w:rFonts w:ascii="Arial" w:hAnsi="Arial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Der Verkauf findet im Freien an einem Getränkewagen statt, um die Situation im Inneren der Halle zu entzerren</w:t>
      </w:r>
      <w:r>
        <w:rPr>
          <w:rFonts w:ascii="Arial" w:hAnsi="Arial"/>
        </w:rPr>
        <w:t xml:space="preserve">. </w:t>
      </w:r>
    </w:p>
    <w:p>
      <w:pPr>
        <w:rPr>
          <w:rFonts w:ascii="Arial" w:hAnsi="Arial"/>
        </w:rPr>
      </w:pPr>
    </w:p>
    <w:p>
      <w:pPr>
        <w:pStyle w:val="ListParagraph"/>
        <w:numPr>
          <w:ilvl w:val="0"/>
          <w:numId w:val="3"/>
        </w:num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Regelmäßige Hallenlüftung</w:t>
      </w:r>
    </w:p>
    <w:p>
      <w:pPr>
        <w:rPr>
          <w:rFonts w:ascii="Arial" w:hAnsi="Arial"/>
          <w:b/>
          <w:bCs/>
          <w:sz w:val="28"/>
          <w:szCs w:val="28"/>
        </w:rPr>
      </w:pP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Die Halle wird regelmäßig </w:t>
      </w:r>
      <w:r>
        <w:rPr>
          <w:rFonts w:ascii="Arial" w:hAnsi="Arial"/>
        </w:rPr>
        <w:t>zum kontinuierlichen Luftaustausch vor dem Spiel, in der Halbzeitpause und nach Spielende gelüftet</w:t>
      </w:r>
    </w:p>
    <w:p>
      <w:pPr>
        <w:rPr>
          <w:rFonts w:ascii="Arial" w:hAnsi="Arial"/>
        </w:rPr>
      </w:pPr>
    </w:p>
    <w:p>
      <w:pPr>
        <w:pStyle w:val="ListParagraph"/>
        <w:numPr>
          <w:ilvl w:val="0"/>
          <w:numId w:val="3"/>
        </w:num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Hinweise zum </w:t>
      </w:r>
      <w:r>
        <w:rPr>
          <w:rFonts w:ascii="Arial" w:hAnsi="Arial"/>
          <w:b/>
          <w:bCs/>
          <w:sz w:val="28"/>
          <w:szCs w:val="28"/>
        </w:rPr>
        <w:t xml:space="preserve">Trainings- und </w:t>
      </w:r>
      <w:r>
        <w:rPr>
          <w:rFonts w:ascii="Arial" w:hAnsi="Arial"/>
          <w:b/>
          <w:bCs/>
          <w:sz w:val="28"/>
          <w:szCs w:val="28"/>
        </w:rPr>
        <w:t>Spielbetrieb</w:t>
      </w:r>
    </w:p>
    <w:p>
      <w:pPr>
        <w:rPr>
          <w:rFonts w:ascii="Arial" w:hAnsi="Arial"/>
        </w:rPr>
      </w:pP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Vor Betreten der Halle sind die Vorgaben der aktuellen </w:t>
      </w:r>
      <w:r>
        <w:rPr>
          <w:rFonts w:ascii="Arial" w:hAnsi="Arial"/>
        </w:rPr>
        <w:t>CoronaSchVO</w:t>
      </w:r>
      <w:r>
        <w:rPr>
          <w:rFonts w:ascii="Arial" w:hAnsi="Arial"/>
        </w:rPr>
        <w:t xml:space="preserve"> zu kontrollieren und einzuhalten. 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Im Jugendspielbetrieb gilt die 3 G Regelung, d.h. Spieler </w:t>
      </w:r>
      <w:r>
        <w:rPr>
          <w:rFonts w:ascii="Arial" w:hAnsi="Arial"/>
        </w:rPr>
        <w:t xml:space="preserve">und Spielerinnen </w:t>
      </w:r>
      <w:r>
        <w:rPr>
          <w:rFonts w:ascii="Arial" w:hAnsi="Arial"/>
        </w:rPr>
        <w:t xml:space="preserve">müssen </w:t>
      </w:r>
      <w:r>
        <w:rPr>
          <w:rFonts w:ascii="Arial" w:hAnsi="Arial"/>
        </w:rPr>
        <w:t>entweder  geimpft</w:t>
      </w:r>
      <w:r>
        <w:rPr>
          <w:rFonts w:ascii="Arial" w:hAnsi="Arial"/>
        </w:rPr>
        <w:t xml:space="preserve">, genesen oder getestet sein. Gemäß § 4 Abs. 2 </w:t>
      </w:r>
      <w:r>
        <w:rPr>
          <w:rFonts w:ascii="Arial" w:hAnsi="Arial"/>
        </w:rPr>
        <w:t>CoronaSchVO</w:t>
      </w:r>
      <w:r>
        <w:rPr>
          <w:rFonts w:ascii="Arial" w:hAnsi="Arial"/>
        </w:rPr>
        <w:t xml:space="preserve"> gelten Kinder und </w:t>
      </w:r>
      <w:r>
        <w:rPr>
          <w:rFonts w:ascii="Arial" w:hAnsi="Arial"/>
        </w:rPr>
        <w:t>Jugendliche bis zum Alter von einschließlich 15 Jahren ohne weiteren Nachweis als getestet.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Spielerinnen und Spieler, die 16 Jahre oder </w:t>
      </w:r>
      <w:r>
        <w:rPr>
          <w:rFonts w:ascii="Arial" w:hAnsi="Arial"/>
        </w:rPr>
        <w:t>älter  und</w:t>
      </w:r>
      <w:r>
        <w:rPr>
          <w:rFonts w:ascii="Arial" w:hAnsi="Arial"/>
        </w:rPr>
        <w:t xml:space="preserve"> weder geimpft noch genesen </w:t>
      </w:r>
      <w:r>
        <w:rPr>
          <w:rFonts w:ascii="Arial" w:hAnsi="Arial"/>
        </w:rPr>
        <w:t>sind,</w:t>
      </w:r>
      <w:r>
        <w:rPr>
          <w:rFonts w:ascii="Arial" w:hAnsi="Arial"/>
        </w:rPr>
        <w:t xml:space="preserve"> benötigen für Trainings- und Spielbetrieb einen negativen PCR-Test, der nicht älter als 48 Stunden sein darf. Diese Sonderregelung gilt nicht für den Einsatz im Erwachsenenspielbetrieb.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Im Erwachsenenspielbetrieb gilt gemäß der </w:t>
      </w:r>
      <w:r>
        <w:rPr>
          <w:rFonts w:ascii="Arial" w:hAnsi="Arial"/>
        </w:rPr>
        <w:t>CoronaSchVO</w:t>
      </w:r>
      <w:r>
        <w:rPr>
          <w:rFonts w:ascii="Arial" w:hAnsi="Arial"/>
        </w:rPr>
        <w:t xml:space="preserve"> die 2 G Regelung.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Zu passiv am Spiel Beteiligten zählen nach $ 4 Abs. 4 Corona </w:t>
      </w:r>
      <w:r>
        <w:rPr>
          <w:rFonts w:ascii="Arial" w:hAnsi="Arial"/>
        </w:rPr>
        <w:t>SchVO</w:t>
      </w:r>
      <w:r>
        <w:rPr>
          <w:rFonts w:ascii="Arial" w:hAnsi="Arial"/>
        </w:rPr>
        <w:t xml:space="preserve"> Trainer und Betreuer, Kampfgericht, Wischer und ggf. Offizielle der Clubs. Hinzu kommen Ordnungsdienst, Hallensprecher u.a. (siehe hier: </w:t>
      </w:r>
      <w:r>
        <w:fldChar w:fldCharType="begin"/>
      </w:r>
      <w:r>
        <w:instrText xml:space="preserve">HYPERLINK "https://www.handballwestfalen.de/fileadmin/user_upload/Westfalenhandball_44_2021.pdf" </w:instrText>
      </w:r>
      <w:r>
        <w:fldChar w:fldCharType="separate"/>
      </w:r>
      <w:r>
        <w:rPr>
          <w:rStyle w:val="Hyperlink"/>
          <w:rFonts w:ascii="Arial" w:hAnsi="Arial"/>
        </w:rPr>
        <w:t>https://www.handballwestfalen.de/fileadmin/user_upload/Westfalenhandball_44_2021.pdf</w:t>
      </w:r>
      <w:r>
        <w:fldChar w:fldCharType="end"/>
      </w:r>
      <w:r>
        <w:rPr>
          <w:rFonts w:ascii="Arial" w:hAnsi="Arial"/>
        </w:rPr>
        <w:t xml:space="preserve"> ). Es werden nur passiv Spielbeteiligte eingesetzt, die </w:t>
      </w:r>
      <w:r>
        <w:rPr>
          <w:rFonts w:ascii="Arial" w:hAnsi="Arial"/>
        </w:rPr>
        <w:t>die  2</w:t>
      </w:r>
      <w:r>
        <w:rPr>
          <w:rFonts w:ascii="Arial" w:hAnsi="Arial"/>
        </w:rPr>
        <w:t xml:space="preserve"> G Voraussetzung erfüllen.</w:t>
      </w:r>
    </w:p>
    <w:p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Sollten Kosten für Tests anfallen, sind diese von den Beteiligten selbst zu tragen.</w:t>
      </w:r>
    </w:p>
    <w:p>
      <w:pPr>
        <w:rPr>
          <w:rFonts w:ascii="Arial" w:hAnsi="Arial"/>
        </w:rPr>
      </w:pPr>
    </w:p>
    <w:p>
      <w:pPr>
        <w:rPr>
          <w:rFonts w:ascii="Arial" w:hAnsi="Arial"/>
        </w:rPr>
      </w:pPr>
    </w:p>
    <w:p>
      <w:pPr>
        <w:rPr>
          <w:rFonts w:ascii="Arial" w:hAnsi="Arial"/>
        </w:rPr>
      </w:pPr>
    </w:p>
    <w:p>
      <w:pPr>
        <w:rPr>
          <w:rFonts w:ascii="Arial" w:hAnsi="Arial"/>
        </w:rPr>
      </w:pPr>
    </w:p>
    <w:p>
      <w:pPr>
        <w:rPr>
          <w:rFonts w:ascii="Arial" w:hAnsi="Arial"/>
        </w:rPr>
      </w:pPr>
    </w:p>
    <w:sectPr>
      <w:footerReference w:type="default" r:id="rId20"/>
      <w:footerReference w:type="even" r:id="rId21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endnote w:type="separator" w:id="0">
    <w:p>
      <w:r>
        <w:rPr/>
        <w:separator/>
      </w:r>
    </w:p>
  </w:endnote>
  <w:endnote w:type="continuationSeparator" w:id="1">
    <w:p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00000000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Footer"/>
      <w:framePr w:hAnchor="margin" w:vAnchor="text" w:wrap="around" w:xAlign="right" w:y="1"/>
      <w:rPr>
        <w:rStyle w:val="Pagenumber"/>
      </w:rPr>
    </w:pPr>
    <w:r>
      <w:fldChar w:fldCharType="begin"/>
    </w:r>
    <w:r>
      <w:instrText xml:space="preserve">PAGE  </w:instrText>
    </w:r>
    <w:r>
      <w:fldChar w:fldCharType="separate"/>
    </w:r>
    <w:r>
      <w:rPr>
        <w:rStyle w:val="Pagenumber"/>
      </w:rPr>
      <w:t>3</w:t>
    </w:r>
    <w:r>
      <w:fldChar w:fldCharType="end"/>
    </w:r>
  </w:p>
  <w:p>
    <w:pPr>
      <w:pStyle w:val="Footer"/>
      <w:ind w:right="360"/>
      <w:rPr>
        <w:rFonts w:ascii="Arial" w:hAnsi="Arial"/>
      </w:rPr>
    </w:pPr>
    <w:r>
      <w:rPr>
        <w:rFonts w:ascii="Arial" w:hAnsi="Arial"/>
      </w:rPr>
      <w:t>Hygienekonzept-T</w:t>
    </w:r>
    <w:r>
      <w:rPr>
        <w:rFonts w:ascii="Arial" w:hAnsi="Arial"/>
      </w:rPr>
      <w:t xml:space="preserve">SG Harsewinkel_ Stand </w:t>
    </w:r>
    <w:r>
      <w:rPr>
        <w:rFonts w:ascii="Arial" w:hAnsi="Arial"/>
      </w:rPr>
      <w:t>2021-</w:t>
    </w:r>
    <w:r>
      <w:rPr>
        <w:rFonts w:ascii="Arial" w:hAnsi="Arial"/>
      </w:rPr>
      <w:t>11</w:t>
    </w:r>
    <w:r>
      <w:rPr>
        <w:rFonts w:ascii="Arial" w:hAnsi="Arial"/>
      </w:rPr>
      <w:t>-</w:t>
    </w:r>
    <w:r>
      <w:rPr>
        <w:rFonts w:ascii="Arial" w:hAnsi="Arial"/>
      </w:rPr>
      <w:t>24</w:t>
    </w:r>
    <w:r>
      <w:rPr>
        <w:rFonts w:ascii="Arial" w:hAnsi="Arial"/>
      </w:rPr>
      <w:t xml:space="preserve">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p>
    <w:pPr>
      <w:pStyle w:val="Footer"/>
      <w:framePr w:hAnchor="margin" w:vAnchor="text" w:wrap="around" w:xAlign="right" w:y="1"/>
      <w:rPr>
        <w:rStyle w:val="Pagenumber"/>
      </w:rPr>
    </w:pPr>
    <w:r>
      <w:fldChar w:fldCharType="begin"/>
    </w:r>
    <w:r>
      <w:instrText xml:space="preserve">PAGE  </w:instrText>
    </w:r>
    <w:r>
      <w:fldChar w:fldCharType="separate"/>
    </w:r>
    <w:r>
      <w:t>*</w:t>
    </w:r>
    <w:r>
      <w:fldChar w:fldCharType="end"/>
    </w:r>
  </w:p>
  <w:p>
    <w:pPr>
      <w:pStyle w:val="Footer"/>
      <w:ind w:right="36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footnote w:type="separator" w:id="0">
    <w:p>
      <w:r>
        <w:rPr/>
        <w:separator/>
      </w:r>
    </w:p>
  </w:footnote>
  <w:footnote w:type="continuationSeparator" w:id="1">
    <w:p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numFmt w:val="bullet"/>
      <w:lvlText w:val="-"/>
      <w:lvlJc w:val="left"/>
      <w:pPr>
        <w:ind w:left="1068" w:hanging="360"/>
      </w:pPr>
      <w:rPr>
        <w:rFonts w:ascii="Arial" w:cstheme="minorBidi" w:eastAsiaTheme="minorHAnsi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 w:tentative="0">
      <w:start w:val="1"/>
      <w:numFmt w:val="bullet"/>
      <w:lvlText w:val="-"/>
      <w:lvlJc w:val="left"/>
      <w:pPr>
        <w:ind w:left="720" w:hanging="360"/>
      </w:pPr>
      <w:rPr>
        <w:rFonts w:ascii="Arial" w:cs="Arial" w:eastAsiaTheme="minorHAnsi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cs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cs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cs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cs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cs="Wingdings" w:hAnsi="Wingdings" w:hint="default"/>
      </w:rPr>
    </w:lvl>
  </w:abstractNum>
  <w:abstractNum w:abstractNumId="2">
    <w:multiLevelType w:val="hybridMultilevel"/>
    <w:lvl w:ilvl="0" w:tentative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multiLevelType w:val="hybridMultilevel"/>
    <w:lvl w:ilvl="0" w:tentative="0">
      <w:numFmt w:val="bullet"/>
      <w:lvlText w:val="-"/>
      <w:lvlJc w:val="left"/>
      <w:pPr>
        <w:ind w:left="1068" w:hanging="360"/>
      </w:pPr>
      <w:rPr>
        <w:rFonts w:ascii="Arial" w:cstheme="minorBidi" w:eastAsiaTheme="minorHAnsi" w:hAnsi="Arial" w:hint="default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 w:tentative="0">
      <w:start w:val="1"/>
      <w:numFmt w:val="bullet"/>
      <w:lvlText w:val="-"/>
      <w:lvlJc w:val="left"/>
      <w:pPr>
        <w:ind w:left="720" w:hanging="360"/>
      </w:pPr>
      <w:rPr>
        <w:rFonts w:ascii="Arial" w:cs="Arial" w:eastAsiaTheme="minorHAnsi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cs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cs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cs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cs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cs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227"/>
    <w:rsid w:val="00140D5F"/>
    <w:rsid w:val="00156856"/>
    <w:rsid w:val="001B22AE"/>
    <w:rsid w:val="001B36B9"/>
    <w:rsid w:val="001E0BCB"/>
    <w:rsid w:val="001F30BB"/>
    <w:rsid w:val="00226AF1"/>
    <w:rsid w:val="002647D2"/>
    <w:rsid w:val="00347A1C"/>
    <w:rsid w:val="00364626"/>
    <w:rsid w:val="003A5E79"/>
    <w:rsid w:val="003B110C"/>
    <w:rsid w:val="003F5365"/>
    <w:rsid w:val="0047030C"/>
    <w:rsid w:val="00474103"/>
    <w:rsid w:val="004B0227"/>
    <w:rsid w:val="004B429B"/>
    <w:rsid w:val="004D1C87"/>
    <w:rsid w:val="005159C9"/>
    <w:rsid w:val="00532C28"/>
    <w:rsid w:val="00542BD3"/>
    <w:rsid w:val="00562804"/>
    <w:rsid w:val="00625219"/>
    <w:rsid w:val="00684A8B"/>
    <w:rsid w:val="0069620B"/>
    <w:rsid w:val="00727337"/>
    <w:rsid w:val="007675D6"/>
    <w:rsid w:val="007D25D7"/>
    <w:rsid w:val="008A2400"/>
    <w:rsid w:val="008B74B1"/>
    <w:rsid w:val="008C23EA"/>
    <w:rsid w:val="00917AF3"/>
    <w:rsid w:val="00926C69"/>
    <w:rsid w:val="00941010"/>
    <w:rsid w:val="00996CA3"/>
    <w:rsid w:val="009A0F9A"/>
    <w:rsid w:val="009E0369"/>
    <w:rsid w:val="00A049F7"/>
    <w:rsid w:val="00A06482"/>
    <w:rsid w:val="00A10CE0"/>
    <w:rsid w:val="00A22CE2"/>
    <w:rsid w:val="00AA2D42"/>
    <w:rsid w:val="00AC1591"/>
    <w:rsid w:val="00AF08B3"/>
    <w:rsid w:val="00B152B1"/>
    <w:rsid w:val="00B5474F"/>
    <w:rsid w:val="00B807BC"/>
    <w:rsid w:val="00B947C3"/>
    <w:rsid w:val="00BD1546"/>
    <w:rsid w:val="00BD3871"/>
    <w:rsid w:val="00BD6FE6"/>
    <w:rsid w:val="00C66357"/>
    <w:rsid w:val="00CB4FEE"/>
    <w:rsid w:val="00D629B0"/>
    <w:rsid w:val="00E0192F"/>
    <w:rsid w:val="00E126E2"/>
    <w:rsid w:val="00F33548"/>
    <w:rsid w:val="00F93CE0"/>
    <w:rsid w:val="00FB3AA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45C8"/>
  <w15:docId w15:val="{B09235D8-3348-2D40-BC52-73C21F150D18}"/>
  <w:footnotePr>
    <w:footnote w:id="0"/>
    <w:footnote w:id="1"/>
  </w:footnotePr>
  <w:endnotePr>
    <w:endnote w:id="0"/>
    <w:endnote w:id="1"/>
  </w:endnotePr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val="de-DE" w:bidi="ar-SA" w:eastAsia="en-US"/>
      </w:rPr>
    </w:rPrDefault>
    <w:pPrDefault/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4f81bd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Header">
    <w:name w:val="Header"/>
    <w:basedOn w:val="Normal"/>
    <w:link w:val="KopfzeileZchn"/>
    <w:uiPriority w:val="99"/>
    <w:semiHidden w:val="on"/>
    <w:unhideWhenUsed w:val="on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DefaultParagraphFont"/>
    <w:link w:val="Header"/>
    <w:uiPriority w:val="99"/>
    <w:semiHidden w:val="on"/>
  </w:style>
  <w:style w:type="paragraph" w:styleId="Footer">
    <w:name w:val="Footer"/>
    <w:basedOn w:val="Normal"/>
    <w:link w:val="FußzeileZchn"/>
    <w:uiPriority w:val="99"/>
    <w:semiHidden w:val="on"/>
    <w:unhideWhenUsed w:val="on"/>
    <w:pPr>
      <w:tabs>
        <w:tab w:val="center" w:pos="4536"/>
        <w:tab w:val="right" w:pos="9072"/>
      </w:tabs>
    </w:pPr>
  </w:style>
  <w:style w:type="character" w:customStyle="1" w:styleId="FußzeileZchn">
    <w:name w:val="Fußzeile Zchn"/>
    <w:basedOn w:val="DefaultParagraphFont"/>
    <w:link w:val="Footer"/>
    <w:uiPriority w:val="99"/>
    <w:semiHidden w:val="on"/>
  </w:style>
  <w:style w:type="character" w:styleId="Pagenumber">
    <w:name w:val="Page number"/>
    <w:basedOn w:val="DefaultParagraphFont"/>
    <w:uiPriority w:val="99"/>
    <w:semiHidden w:val="on"/>
    <w:unhideWhenUsed w:val="on"/>
  </w:style>
  <w:style w:type="character" w:styleId="Hyperlink">
    <w:name w:val="Hyperlink"/>
    <w:basedOn w:val="DefaultParagraphFont"/>
    <w:uiPriority w:val="99"/>
    <w:unhideWhenUsed w:val="on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on"/>
    <w:unhideWhenUsed w:val="on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3" Type="http://schemas.openxmlformats.org/officeDocument/2006/relationships/settings" Target="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4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s://www.handballwestfalen.de/fileadmin/user_upload/Westfalenhandball_44_2021.pdf" TargetMode="External"/><Relationship Id="rId9" Type="http://schemas.openxmlformats.org/officeDocument/2006/relationships/hyperlink" Target="https://www.handballwestfalen.de/fileadmin/user_upload/Westfalenhandball_44_2021.pdf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mbria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Feuß</dc:creator>
  <cp:lastModifiedBy>iPhone von Klaus Windau</cp:lastModifiedBy>
</cp:coreProperties>
</file>